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27" w:type="dxa"/>
        <w:tblInd w:w="0" w:type="dxa"/>
        <w:shd w:val="clear" w:color="auto" w:fill="E2EFD9" w:themeFill="accent6" w:themeFillTint="33"/>
        <w:tblCellMar>
          <w:top w:w="121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9827"/>
      </w:tblGrid>
      <w:tr w:rsidR="00CA3172" w:rsidRPr="00CA3172" w14:paraId="61FA9E91" w14:textId="77777777" w:rsidTr="00CA3172">
        <w:trPr>
          <w:trHeight w:val="14353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0F96B735" w14:textId="77777777" w:rsidR="00830D36" w:rsidRPr="00CA3172" w:rsidRDefault="00830D36" w:rsidP="00D14114">
            <w:pPr>
              <w:spacing w:after="86" w:line="259" w:lineRule="auto"/>
              <w:ind w:left="0" w:right="0" w:firstLine="0"/>
              <w:rPr>
                <w:color w:val="auto"/>
              </w:rPr>
            </w:pPr>
            <w:r w:rsidRPr="00CA3172">
              <w:rPr>
                <w:b/>
                <w:color w:val="auto"/>
                <w:sz w:val="23"/>
              </w:rPr>
              <w:t xml:space="preserve">Box 1: Criteria for a third primary dose of COVID-19 vaccine in those aged 12 years and above </w:t>
            </w:r>
          </w:p>
          <w:p w14:paraId="23FF170A" w14:textId="77777777" w:rsidR="00830D36" w:rsidRPr="00CA3172" w:rsidRDefault="00830D36" w:rsidP="00D14114">
            <w:pPr>
              <w:spacing w:after="52" w:line="236" w:lineRule="auto"/>
              <w:ind w:left="0" w:right="0" w:firstLine="0"/>
              <w:rPr>
                <w:color w:val="auto"/>
              </w:rPr>
            </w:pPr>
            <w:r w:rsidRPr="00CA3172">
              <w:rPr>
                <w:b/>
                <w:color w:val="auto"/>
                <w:sz w:val="23"/>
              </w:rPr>
              <w:t xml:space="preserve">Individuals with primary or acquired immunodeficiency states at the time of vaccination due to conditions including: </w:t>
            </w:r>
          </w:p>
          <w:p w14:paraId="0C23A99C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8" w:line="239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acute and chronic </w:t>
            </w:r>
            <w:proofErr w:type="spellStart"/>
            <w:r w:rsidRPr="00CA3172">
              <w:rPr>
                <w:color w:val="auto"/>
                <w:sz w:val="23"/>
              </w:rPr>
              <w:t>leukaemias</w:t>
            </w:r>
            <w:proofErr w:type="spellEnd"/>
            <w:r w:rsidRPr="00CA3172">
              <w:rPr>
                <w:color w:val="auto"/>
                <w:sz w:val="23"/>
              </w:rPr>
              <w:t xml:space="preserve">, and clinically aggressive lymphomas (including Hodgkin’s lymphoma) who were under treatment or within 12 months of achieving cure at the time of vaccination </w:t>
            </w:r>
          </w:p>
          <w:p w14:paraId="4F2E8A61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9" w:line="238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individuals under follow up for a </w:t>
            </w:r>
            <w:proofErr w:type="gramStart"/>
            <w:r w:rsidRPr="00CA3172">
              <w:rPr>
                <w:color w:val="auto"/>
                <w:sz w:val="23"/>
              </w:rPr>
              <w:t>chronic lymphoproliferative disorders</w:t>
            </w:r>
            <w:proofErr w:type="gramEnd"/>
            <w:r w:rsidRPr="00CA3172">
              <w:rPr>
                <w:color w:val="auto"/>
                <w:sz w:val="23"/>
              </w:rPr>
              <w:t xml:space="preserve"> including haematological malignancies such as indolent lymphoma, chronic lymphoid leukaemia, myeloma, </w:t>
            </w:r>
            <w:proofErr w:type="spellStart"/>
            <w:r w:rsidRPr="00CA3172">
              <w:rPr>
                <w:color w:val="auto"/>
                <w:sz w:val="23"/>
              </w:rPr>
              <w:t>Waldenstrom’s</w:t>
            </w:r>
            <w:proofErr w:type="spellEnd"/>
            <w:r w:rsidRPr="00CA3172">
              <w:rPr>
                <w:color w:val="auto"/>
                <w:sz w:val="23"/>
              </w:rPr>
              <w:t xml:space="preserve"> macroglobulinemia and other plasma cell dyscrasias (Note: this list is not exhaustive) </w:t>
            </w:r>
          </w:p>
          <w:p w14:paraId="477F9ABB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3" w:line="243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>adults and children aged 12 years and over with immunosuppression due to HIV/AIDS with a current CD4 count of &lt;200 cells/</w:t>
            </w:r>
            <w:proofErr w:type="spellStart"/>
            <w:r w:rsidRPr="00CA3172">
              <w:rPr>
                <w:i/>
                <w:color w:val="auto"/>
                <w:sz w:val="23"/>
              </w:rPr>
              <w:t>μ</w:t>
            </w:r>
            <w:r w:rsidRPr="00CA3172">
              <w:rPr>
                <w:color w:val="auto"/>
                <w:sz w:val="23"/>
              </w:rPr>
              <w:t>l</w:t>
            </w:r>
            <w:proofErr w:type="spellEnd"/>
            <w:r w:rsidRPr="00CA3172">
              <w:rPr>
                <w:color w:val="auto"/>
                <w:sz w:val="23"/>
              </w:rPr>
              <w:t xml:space="preserve"> </w:t>
            </w:r>
          </w:p>
          <w:p w14:paraId="055FDC91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0" w:line="259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Primary or acquired cellular and combined immune deficiencies – those with </w:t>
            </w:r>
            <w:proofErr w:type="spellStart"/>
            <w:r w:rsidRPr="00CA3172">
              <w:rPr>
                <w:color w:val="auto"/>
                <w:sz w:val="23"/>
              </w:rPr>
              <w:t>lymphopaenia</w:t>
            </w:r>
            <w:proofErr w:type="spellEnd"/>
            <w:r w:rsidRPr="00CA3172">
              <w:rPr>
                <w:color w:val="auto"/>
                <w:sz w:val="23"/>
              </w:rPr>
              <w:t xml:space="preserve"> </w:t>
            </w:r>
          </w:p>
          <w:p w14:paraId="499D57FA" w14:textId="77777777" w:rsidR="00830D36" w:rsidRPr="00CA3172" w:rsidRDefault="00830D36" w:rsidP="00D14114">
            <w:pPr>
              <w:spacing w:after="24" w:line="259" w:lineRule="auto"/>
              <w:ind w:left="227" w:right="0" w:firstLine="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>(&lt;1,000 lymphocytes/</w:t>
            </w:r>
            <w:proofErr w:type="spellStart"/>
            <w:r w:rsidRPr="00CA3172">
              <w:rPr>
                <w:i/>
                <w:color w:val="auto"/>
                <w:sz w:val="23"/>
              </w:rPr>
              <w:t>μ</w:t>
            </w:r>
            <w:r w:rsidRPr="00CA3172">
              <w:rPr>
                <w:color w:val="auto"/>
                <w:sz w:val="23"/>
              </w:rPr>
              <w:t>l</w:t>
            </w:r>
            <w:proofErr w:type="spellEnd"/>
            <w:r w:rsidRPr="00CA3172">
              <w:rPr>
                <w:color w:val="auto"/>
                <w:sz w:val="23"/>
              </w:rPr>
              <w:t xml:space="preserve">) or with a functional lymphocyte disorder </w:t>
            </w:r>
          </w:p>
          <w:p w14:paraId="3444FF97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those who had received a stem cell transplant or </w:t>
            </w:r>
            <w:proofErr w:type="spellStart"/>
            <w:r w:rsidRPr="00CA3172">
              <w:rPr>
                <w:color w:val="auto"/>
                <w:sz w:val="23"/>
              </w:rPr>
              <w:t>chimaeric</w:t>
            </w:r>
            <w:proofErr w:type="spellEnd"/>
            <w:r w:rsidRPr="00CA3172">
              <w:rPr>
                <w:color w:val="auto"/>
                <w:sz w:val="23"/>
              </w:rPr>
              <w:t xml:space="preserve"> antigen receptor (CAR)-T cell therapy in the 24 months before vaccination </w:t>
            </w:r>
          </w:p>
          <w:p w14:paraId="560E21AA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those who had received a stem cell transplant more than 24 months before vaccination but had ongoing immunosuppression or graft versus host disease (GVHD) </w:t>
            </w:r>
          </w:p>
          <w:p w14:paraId="772E607B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106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persistent </w:t>
            </w:r>
            <w:proofErr w:type="spellStart"/>
            <w:r w:rsidRPr="00CA3172">
              <w:rPr>
                <w:color w:val="auto"/>
                <w:sz w:val="23"/>
              </w:rPr>
              <w:t>agammaglobulinaemia</w:t>
            </w:r>
            <w:proofErr w:type="spellEnd"/>
            <w:r w:rsidRPr="00CA3172">
              <w:rPr>
                <w:color w:val="auto"/>
                <w:sz w:val="23"/>
              </w:rPr>
              <w:t xml:space="preserve"> (IgG &lt; 3g/L) due to primary immunodeficiency (</w:t>
            </w:r>
            <w:proofErr w:type="gramStart"/>
            <w:r w:rsidRPr="00CA3172">
              <w:rPr>
                <w:color w:val="auto"/>
                <w:sz w:val="23"/>
              </w:rPr>
              <w:t>e.g.</w:t>
            </w:r>
            <w:proofErr w:type="gramEnd"/>
            <w:r w:rsidRPr="00CA3172">
              <w:rPr>
                <w:color w:val="auto"/>
                <w:sz w:val="23"/>
              </w:rPr>
              <w:t xml:space="preserve"> common variable immunodeficiency) or secondary to disease / therapy </w:t>
            </w:r>
          </w:p>
          <w:p w14:paraId="493833D6" w14:textId="77777777" w:rsidR="00830D36" w:rsidRPr="00CA3172" w:rsidRDefault="00830D36" w:rsidP="00D14114">
            <w:pPr>
              <w:spacing w:after="51" w:line="236" w:lineRule="auto"/>
              <w:ind w:left="0" w:right="0" w:firstLine="0"/>
              <w:rPr>
                <w:color w:val="auto"/>
              </w:rPr>
            </w:pPr>
            <w:r w:rsidRPr="00CA3172">
              <w:rPr>
                <w:b/>
                <w:color w:val="auto"/>
                <w:sz w:val="23"/>
              </w:rPr>
              <w:t xml:space="preserve">Individuals on immunosuppressive or immunomodulating therapy at the time of vaccination including: </w:t>
            </w:r>
          </w:p>
          <w:p w14:paraId="0C297AFA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4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those who were receiving immunosuppressive therapy for a solid organ transplant at the time of vaccination </w:t>
            </w:r>
          </w:p>
          <w:p w14:paraId="2E5F8151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50" w:line="237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>those who were receiving or had received in the previous 3 months targeted therapy for autoimmune disease, such as JAK inhibitors or biologic immune modulators including B-cell targeted therapies (including rituximab but in this case the recipient would be considered immunosuppressed for a 6 month period), T-cell co-stimulation modulators, monoclonal tumour necrosis factor inhibitors (</w:t>
            </w:r>
            <w:proofErr w:type="spellStart"/>
            <w:r w:rsidRPr="00CA3172">
              <w:rPr>
                <w:color w:val="auto"/>
                <w:sz w:val="23"/>
              </w:rPr>
              <w:t>TNFi</w:t>
            </w:r>
            <w:proofErr w:type="spellEnd"/>
            <w:r w:rsidRPr="00CA3172">
              <w:rPr>
                <w:color w:val="auto"/>
                <w:sz w:val="23"/>
              </w:rPr>
              <w:t xml:space="preserve">), soluble TNF receptors, interleukin (IL)-6 receptor inhibitors., IL-17 inhibitors, IL 12/23 inhibitors, IL 23 inhibitors. (Note: this list is not exhaustive) </w:t>
            </w:r>
          </w:p>
          <w:p w14:paraId="20F0D89E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106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those who were receiving or had received immunosuppressive chemotherapy or radiotherapy for any indication in the 6 months before vaccination </w:t>
            </w:r>
          </w:p>
          <w:p w14:paraId="52B2F738" w14:textId="77777777" w:rsidR="00830D36" w:rsidRPr="00CA3172" w:rsidRDefault="00830D36" w:rsidP="00D14114">
            <w:pPr>
              <w:spacing w:after="67" w:line="236" w:lineRule="auto"/>
              <w:ind w:left="0" w:right="0" w:firstLine="0"/>
              <w:rPr>
                <w:color w:val="auto"/>
              </w:rPr>
            </w:pPr>
            <w:r w:rsidRPr="00CA3172">
              <w:rPr>
                <w:b/>
                <w:color w:val="auto"/>
                <w:sz w:val="23"/>
              </w:rPr>
              <w:t xml:space="preserve">Individuals with chronic immune-mediated inflammatory disease who were receiving or had received immunosuppressive therapy prior to vaccination including: </w:t>
            </w:r>
          </w:p>
          <w:p w14:paraId="36C306AC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63" w:line="240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high dose corticosteroids (equivalent to </w:t>
            </w:r>
            <w:r w:rsidRPr="00CA3172">
              <w:rPr>
                <w:rFonts w:ascii="Arial" w:eastAsia="Arial" w:hAnsi="Arial" w:cs="Arial"/>
                <w:color w:val="auto"/>
                <w:sz w:val="23"/>
              </w:rPr>
              <w:t>≥</w:t>
            </w:r>
            <w:r w:rsidRPr="00CA3172">
              <w:rPr>
                <w:color w:val="auto"/>
                <w:sz w:val="23"/>
              </w:rPr>
              <w:t xml:space="preserve"> 20mg prednisolone per day) for more than 10 days in the month before vaccination </w:t>
            </w:r>
          </w:p>
          <w:p w14:paraId="72E3BA77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7" w:line="239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long term moderate dose corticosteroids (equivalent to </w:t>
            </w:r>
            <w:r w:rsidRPr="00CA3172">
              <w:rPr>
                <w:rFonts w:ascii="Arial" w:eastAsia="Arial" w:hAnsi="Arial" w:cs="Arial"/>
                <w:color w:val="auto"/>
                <w:sz w:val="23"/>
              </w:rPr>
              <w:t>≥</w:t>
            </w:r>
            <w:r w:rsidRPr="00CA3172">
              <w:rPr>
                <w:color w:val="auto"/>
                <w:sz w:val="23"/>
              </w:rPr>
              <w:t xml:space="preserve">10mg prednisolone per day for more than 4 weeks) in the 3 months before vaccination </w:t>
            </w:r>
          </w:p>
          <w:p w14:paraId="25755A19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48" w:line="239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non-biological oral immune modulating drugs, such as methotrexate &gt;20mg per week (oral and subcutaneous), azathioprine &gt;3.0mg/kg/day; 6-mercaptopurine &gt;1.5mg/kg/day, mycophenolate &gt;1g/day) in the 3 months before vaccination </w:t>
            </w:r>
          </w:p>
          <w:p w14:paraId="220E3618" w14:textId="77777777" w:rsidR="00830D36" w:rsidRPr="00CA3172" w:rsidRDefault="00830D36" w:rsidP="00D14114">
            <w:pPr>
              <w:numPr>
                <w:ilvl w:val="0"/>
                <w:numId w:val="1"/>
              </w:numPr>
              <w:spacing w:after="107" w:line="242" w:lineRule="auto"/>
              <w:ind w:right="0" w:hanging="220"/>
              <w:rPr>
                <w:color w:val="auto"/>
              </w:rPr>
            </w:pPr>
            <w:r w:rsidRPr="00CA3172">
              <w:rPr>
                <w:color w:val="auto"/>
                <w:sz w:val="23"/>
              </w:rPr>
              <w:t xml:space="preserve">certain combination therapies at individual doses lower than above, including those on </w:t>
            </w:r>
            <w:r w:rsidRPr="00CA3172">
              <w:rPr>
                <w:rFonts w:ascii="Arial" w:eastAsia="Arial" w:hAnsi="Arial" w:cs="Arial"/>
                <w:color w:val="auto"/>
                <w:sz w:val="23"/>
              </w:rPr>
              <w:t>≥</w:t>
            </w:r>
            <w:r w:rsidRPr="00CA3172">
              <w:rPr>
                <w:color w:val="auto"/>
                <w:sz w:val="23"/>
              </w:rPr>
              <w:t>7.5mg prednisolone per day in combination with other immunosuppressants (other than hydroxychloroquine or sulfasalazine) and those receiving methotrexate (any dose) with leflunomide in the 3 months before vaccination</w:t>
            </w:r>
          </w:p>
          <w:p w14:paraId="163DF55D" w14:textId="77777777" w:rsidR="00830D36" w:rsidRPr="00CA3172" w:rsidRDefault="00830D36" w:rsidP="00D14114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A3172">
              <w:rPr>
                <w:b/>
                <w:color w:val="auto"/>
                <w:sz w:val="23"/>
              </w:rPr>
              <w:t>Individuals who had received high dose steroids (equivalent to &gt;40mg prednisolone per day for more than a week) for any reason in the month before vaccination</w:t>
            </w:r>
          </w:p>
        </w:tc>
      </w:tr>
    </w:tbl>
    <w:p w14:paraId="0EF637B8" w14:textId="77777777" w:rsidR="00657E55" w:rsidRPr="00CA3172" w:rsidRDefault="00657E55">
      <w:pPr>
        <w:rPr>
          <w:color w:val="auto"/>
        </w:rPr>
      </w:pPr>
    </w:p>
    <w:sectPr w:rsidR="00657E55" w:rsidRPr="00CA3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75A9E"/>
    <w:multiLevelType w:val="hybridMultilevel"/>
    <w:tmpl w:val="344810B8"/>
    <w:lvl w:ilvl="0" w:tplc="C7F0EE86">
      <w:start w:val="1"/>
      <w:numFmt w:val="bullet"/>
      <w:lvlText w:val="●"/>
      <w:lvlJc w:val="left"/>
      <w:pPr>
        <w:ind w:left="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E08ECD2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DCA979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3F8326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71E742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6A425B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244A4B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8F0145E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0E464B2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A85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556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36"/>
    <w:rsid w:val="00657E55"/>
    <w:rsid w:val="00830D36"/>
    <w:rsid w:val="00C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3D1F"/>
  <w15:chartTrackingRefBased/>
  <w15:docId w15:val="{C5BDCE4F-DC9E-43B7-B5D0-AB282EB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36"/>
    <w:pPr>
      <w:spacing w:after="158" w:line="248" w:lineRule="auto"/>
      <w:ind w:left="529" w:right="334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30D3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Jon (DR CHIN AND PARTNERS)</dc:creator>
  <cp:keywords/>
  <dc:description/>
  <cp:lastModifiedBy>Katy Morson</cp:lastModifiedBy>
  <cp:revision>2</cp:revision>
  <dcterms:created xsi:type="dcterms:W3CDTF">2022-09-05T07:41:00Z</dcterms:created>
  <dcterms:modified xsi:type="dcterms:W3CDTF">2022-09-05T07:41:00Z</dcterms:modified>
</cp:coreProperties>
</file>